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EAB" w:rsidRPr="00EE6512" w:rsidRDefault="00504EAB" w:rsidP="00504EAB">
      <w:pPr>
        <w:widowControl/>
        <w:jc w:val="left"/>
        <w:rPr>
          <w:rFonts w:ascii="Times New Roman" w:eastAsia="SimSun" w:hAnsi="Times New Roman" w:cs="Times New Roman"/>
          <w:szCs w:val="21"/>
        </w:rPr>
      </w:pPr>
      <w:r w:rsidRPr="00EE6512">
        <w:rPr>
          <w:rFonts w:ascii="Times New Roman" w:eastAsia="SimSun" w:hAnsi="Times New Roman" w:cs="Times New Roman"/>
          <w:bCs/>
          <w:kern w:val="36"/>
          <w:szCs w:val="21"/>
        </w:rPr>
        <w:t>Table</w:t>
      </w:r>
      <w:r>
        <w:rPr>
          <w:rFonts w:ascii="Times New Roman" w:eastAsia="SimSun" w:hAnsi="Times New Roman" w:cs="Times New Roman" w:hint="eastAsia"/>
          <w:bCs/>
          <w:kern w:val="36"/>
          <w:szCs w:val="21"/>
        </w:rPr>
        <w:t xml:space="preserve"> S</w:t>
      </w:r>
      <w:r w:rsidRPr="00EE6512">
        <w:rPr>
          <w:rFonts w:ascii="Times New Roman" w:eastAsia="SimSun" w:hAnsi="Times New Roman" w:cs="Times New Roman"/>
          <w:bCs/>
          <w:kern w:val="36"/>
          <w:szCs w:val="21"/>
        </w:rPr>
        <w:t>1.</w:t>
      </w:r>
      <w:bookmarkStart w:id="0" w:name="OLE_LINK47"/>
      <w:r w:rsidRPr="00EE6512">
        <w:rPr>
          <w:rFonts w:ascii="Times New Roman" w:eastAsia="SimSun" w:hAnsi="Times New Roman" w:cs="Times New Roman"/>
          <w:bCs/>
          <w:kern w:val="36"/>
          <w:szCs w:val="21"/>
        </w:rPr>
        <w:t xml:space="preserve"> </w:t>
      </w:r>
      <w:bookmarkEnd w:id="0"/>
      <w:r w:rsidRPr="00EE6512">
        <w:rPr>
          <w:rFonts w:ascii="Times New Roman" w:hAnsi="Times New Roman" w:cs="Times New Roman"/>
          <w:szCs w:val="21"/>
        </w:rPr>
        <w:t xml:space="preserve">Cases and controls sample information. </w:t>
      </w:r>
    </w:p>
    <w:p w:rsidR="00504EAB" w:rsidRPr="00EE6512" w:rsidRDefault="00504EAB" w:rsidP="00504EAB">
      <w:pPr>
        <w:widowControl/>
        <w:jc w:val="left"/>
        <w:rPr>
          <w:rFonts w:ascii="Times New Roman" w:hAnsi="Times New Roman" w:cs="Times New Roman"/>
          <w:szCs w:val="21"/>
        </w:rPr>
      </w:pPr>
    </w:p>
    <w:tbl>
      <w:tblPr>
        <w:tblStyle w:val="a"/>
        <w:tblW w:w="8415" w:type="dxa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50"/>
        <w:gridCol w:w="602"/>
        <w:gridCol w:w="2387"/>
        <w:gridCol w:w="1582"/>
        <w:gridCol w:w="1893"/>
      </w:tblGrid>
      <w:tr w:rsidR="00504EAB" w:rsidRPr="00EE6512" w:rsidTr="00504E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101" w:type="dxa"/>
            <w:tcBorders>
              <w:bottom w:val="none" w:sz="0" w:space="0" w:color="auto"/>
            </w:tcBorders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szCs w:val="21"/>
              </w:rPr>
              <w:t>Sample</w:t>
            </w:r>
          </w:p>
        </w:tc>
        <w:tc>
          <w:tcPr>
            <w:tcW w:w="850" w:type="dxa"/>
            <w:tcBorders>
              <w:bottom w:val="none" w:sz="0" w:space="0" w:color="auto"/>
            </w:tcBorders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Sex</w:t>
            </w:r>
          </w:p>
        </w:tc>
        <w:tc>
          <w:tcPr>
            <w:tcW w:w="602" w:type="dxa"/>
            <w:tcBorders>
              <w:bottom w:val="none" w:sz="0" w:space="0" w:color="auto"/>
            </w:tcBorders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Age</w:t>
            </w:r>
          </w:p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(</w:t>
            </w:r>
            <w:proofErr w:type="spellStart"/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yr</w:t>
            </w:r>
            <w:proofErr w:type="spellEnd"/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2387" w:type="dxa"/>
            <w:tcBorders>
              <w:bottom w:val="none" w:sz="0" w:space="0" w:color="auto"/>
            </w:tcBorders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Occupation</w:t>
            </w:r>
          </w:p>
        </w:tc>
        <w:tc>
          <w:tcPr>
            <w:tcW w:w="1582" w:type="dxa"/>
            <w:tcBorders>
              <w:bottom w:val="none" w:sz="0" w:space="0" w:color="auto"/>
            </w:tcBorders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TCE exposure</w:t>
            </w:r>
          </w:p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duration (day)</w:t>
            </w:r>
          </w:p>
        </w:tc>
        <w:tc>
          <w:tcPr>
            <w:tcW w:w="1893" w:type="dxa"/>
            <w:tcBorders>
              <w:bottom w:val="none" w:sz="0" w:space="0" w:color="auto"/>
            </w:tcBorders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Diagnosis</w:t>
            </w:r>
          </w:p>
        </w:tc>
      </w:tr>
      <w:tr w:rsidR="00504EAB" w:rsidRPr="00EE6512" w:rsidTr="00504EAB">
        <w:trPr>
          <w:trHeight w:val="300"/>
        </w:trPr>
        <w:tc>
          <w:tcPr>
            <w:tcW w:w="1101" w:type="dxa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Case 1</w:t>
            </w:r>
          </w:p>
        </w:tc>
        <w:tc>
          <w:tcPr>
            <w:tcW w:w="850" w:type="dxa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Female</w:t>
            </w:r>
          </w:p>
        </w:tc>
        <w:tc>
          <w:tcPr>
            <w:tcW w:w="602" w:type="dxa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387" w:type="dxa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Loading racks</w:t>
            </w:r>
          </w:p>
        </w:tc>
        <w:tc>
          <w:tcPr>
            <w:tcW w:w="1582" w:type="dxa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1893" w:type="dxa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  <w:vertAlign w:val="superscript"/>
              </w:rPr>
            </w:pPr>
            <w:proofErr w:type="spellStart"/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ED</w:t>
            </w: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  <w:vertAlign w:val="superscript"/>
              </w:rPr>
              <w:t>a</w:t>
            </w:r>
            <w:proofErr w:type="spellEnd"/>
          </w:p>
        </w:tc>
      </w:tr>
      <w:tr w:rsidR="00504EAB" w:rsidRPr="00EE6512" w:rsidTr="00504EAB">
        <w:trPr>
          <w:trHeight w:val="300"/>
        </w:trPr>
        <w:tc>
          <w:tcPr>
            <w:tcW w:w="1101" w:type="dxa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hAnsi="Times New Roman" w:cs="Times New Roman"/>
                <w:color w:val="000000"/>
                <w:szCs w:val="21"/>
              </w:rPr>
              <w:t>Case 2</w:t>
            </w:r>
          </w:p>
        </w:tc>
        <w:tc>
          <w:tcPr>
            <w:tcW w:w="850" w:type="dxa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Male</w:t>
            </w:r>
          </w:p>
        </w:tc>
        <w:tc>
          <w:tcPr>
            <w:tcW w:w="602" w:type="dxa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2387" w:type="dxa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Trichloroethylene clean</w:t>
            </w:r>
          </w:p>
        </w:tc>
        <w:tc>
          <w:tcPr>
            <w:tcW w:w="1582" w:type="dxa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81</w:t>
            </w:r>
          </w:p>
        </w:tc>
        <w:tc>
          <w:tcPr>
            <w:tcW w:w="1893" w:type="dxa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  <w:vertAlign w:val="superscript"/>
              </w:rPr>
            </w:pPr>
            <w:proofErr w:type="spellStart"/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EM</w:t>
            </w: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  <w:vertAlign w:val="superscript"/>
              </w:rPr>
              <w:t>b</w:t>
            </w:r>
            <w:proofErr w:type="spellEnd"/>
          </w:p>
        </w:tc>
      </w:tr>
      <w:tr w:rsidR="00504EAB" w:rsidRPr="00EE6512" w:rsidTr="00504EAB">
        <w:trPr>
          <w:trHeight w:val="300"/>
        </w:trPr>
        <w:tc>
          <w:tcPr>
            <w:tcW w:w="1101" w:type="dxa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6512">
              <w:rPr>
                <w:rFonts w:ascii="Times New Roman" w:hAnsi="Times New Roman" w:cs="Times New Roman"/>
                <w:color w:val="000000"/>
                <w:szCs w:val="21"/>
              </w:rPr>
              <w:t>Control 1</w:t>
            </w:r>
          </w:p>
        </w:tc>
        <w:tc>
          <w:tcPr>
            <w:tcW w:w="850" w:type="dxa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Female</w:t>
            </w:r>
          </w:p>
        </w:tc>
        <w:tc>
          <w:tcPr>
            <w:tcW w:w="602" w:type="dxa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387" w:type="dxa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Loading racks</w:t>
            </w:r>
          </w:p>
        </w:tc>
        <w:tc>
          <w:tcPr>
            <w:tcW w:w="1582" w:type="dxa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1893" w:type="dxa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None</w:t>
            </w:r>
          </w:p>
        </w:tc>
      </w:tr>
      <w:tr w:rsidR="00504EAB" w:rsidRPr="00EE6512" w:rsidTr="00504EAB">
        <w:trPr>
          <w:trHeight w:val="300"/>
        </w:trPr>
        <w:tc>
          <w:tcPr>
            <w:tcW w:w="1101" w:type="dxa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6512">
              <w:rPr>
                <w:rFonts w:ascii="Times New Roman" w:hAnsi="Times New Roman" w:cs="Times New Roman"/>
                <w:color w:val="000000"/>
                <w:szCs w:val="21"/>
              </w:rPr>
              <w:t>Control 2</w:t>
            </w:r>
          </w:p>
        </w:tc>
        <w:tc>
          <w:tcPr>
            <w:tcW w:w="850" w:type="dxa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Male</w:t>
            </w:r>
          </w:p>
        </w:tc>
        <w:tc>
          <w:tcPr>
            <w:tcW w:w="602" w:type="dxa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2387" w:type="dxa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Loading racks</w:t>
            </w:r>
          </w:p>
        </w:tc>
        <w:tc>
          <w:tcPr>
            <w:tcW w:w="1582" w:type="dxa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~360</w:t>
            </w:r>
          </w:p>
        </w:tc>
        <w:tc>
          <w:tcPr>
            <w:tcW w:w="1893" w:type="dxa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color w:val="000000"/>
                <w:kern w:val="0"/>
                <w:szCs w:val="21"/>
              </w:rPr>
              <w:t>None</w:t>
            </w:r>
          </w:p>
        </w:tc>
      </w:tr>
    </w:tbl>
    <w:p w:rsidR="00504EAB" w:rsidRPr="00EE6512" w:rsidRDefault="00504EAB" w:rsidP="00504EAB">
      <w:pPr>
        <w:widowControl/>
        <w:spacing w:line="360" w:lineRule="auto"/>
        <w:jc w:val="left"/>
        <w:rPr>
          <w:rFonts w:ascii="Times New Roman" w:hAnsi="Times New Roman" w:cs="Times New Roman"/>
          <w:szCs w:val="21"/>
        </w:rPr>
      </w:pPr>
      <w:r w:rsidRPr="00EE6512">
        <w:rPr>
          <w:rFonts w:ascii="Times New Roman" w:hAnsi="Times New Roman" w:cs="Times New Roman"/>
          <w:szCs w:val="21"/>
        </w:rPr>
        <w:t>Samples obtained b</w:t>
      </w:r>
      <w:r>
        <w:rPr>
          <w:rFonts w:ascii="Times New Roman" w:hAnsi="Times New Roman" w:cs="Times New Roman"/>
          <w:szCs w:val="21"/>
        </w:rPr>
        <w:t>y Shenzhen CDC included 2 cases and 2 controls</w:t>
      </w:r>
    </w:p>
    <w:p w:rsidR="00504EAB" w:rsidRPr="00EE6512" w:rsidRDefault="00504EAB" w:rsidP="00504EAB">
      <w:pPr>
        <w:spacing w:line="360" w:lineRule="auto"/>
        <w:rPr>
          <w:rFonts w:ascii="Times New Roman" w:hAnsi="Times New Roman" w:cs="Times New Roman"/>
          <w:szCs w:val="21"/>
        </w:rPr>
      </w:pPr>
      <w:r w:rsidRPr="00EE6512">
        <w:rPr>
          <w:rFonts w:ascii="Times New Roman" w:hAnsi="Times New Roman" w:cs="Times New Roman"/>
          <w:szCs w:val="21"/>
          <w:vertAlign w:val="superscript"/>
        </w:rPr>
        <w:t xml:space="preserve">a </w:t>
      </w:r>
      <w:r w:rsidRPr="00EE6512">
        <w:rPr>
          <w:rFonts w:ascii="Times New Roman" w:hAnsi="Times New Roman" w:cs="Times New Roman"/>
          <w:szCs w:val="21"/>
        </w:rPr>
        <w:t>ED: exfoliative dermatitis</w:t>
      </w:r>
    </w:p>
    <w:p w:rsidR="00504EAB" w:rsidRPr="00EE6512" w:rsidRDefault="00504EAB" w:rsidP="00504EAB">
      <w:pPr>
        <w:spacing w:line="360" w:lineRule="auto"/>
        <w:rPr>
          <w:rFonts w:ascii="Times New Roman" w:hAnsi="Times New Roman" w:cs="Times New Roman"/>
          <w:szCs w:val="21"/>
        </w:rPr>
      </w:pPr>
      <w:r w:rsidRPr="00EE6512">
        <w:rPr>
          <w:rFonts w:ascii="Times New Roman" w:hAnsi="Times New Roman" w:cs="Times New Roman"/>
          <w:szCs w:val="21"/>
          <w:vertAlign w:val="superscript"/>
        </w:rPr>
        <w:t xml:space="preserve">b </w:t>
      </w:r>
      <w:r w:rsidRPr="00EE6512">
        <w:rPr>
          <w:rFonts w:ascii="Times New Roman" w:hAnsi="Times New Roman" w:cs="Times New Roman"/>
          <w:szCs w:val="21"/>
        </w:rPr>
        <w:t>EM: erythema multiform</w:t>
      </w:r>
    </w:p>
    <w:p w:rsidR="00504EAB" w:rsidRPr="00EE6512" w:rsidRDefault="00504EAB" w:rsidP="00504EAB">
      <w:pPr>
        <w:widowControl/>
        <w:jc w:val="left"/>
        <w:rPr>
          <w:rFonts w:ascii="Times New Roman" w:hAnsi="Times New Roman" w:cs="Times New Roman"/>
          <w:szCs w:val="21"/>
        </w:rPr>
      </w:pPr>
      <w:r w:rsidRPr="00EE6512">
        <w:rPr>
          <w:rFonts w:ascii="Times New Roman" w:hAnsi="Times New Roman" w:cs="Times New Roman"/>
          <w:b/>
          <w:bCs/>
          <w:szCs w:val="21"/>
        </w:rPr>
        <w:br w:type="page"/>
      </w:r>
    </w:p>
    <w:p w:rsidR="00504EAB" w:rsidRPr="00EE6512" w:rsidRDefault="00504EAB" w:rsidP="00504EAB">
      <w:pPr>
        <w:pStyle w:val="Heading1"/>
        <w:rPr>
          <w:rFonts w:ascii="Times New Roman" w:hAnsi="Times New Roman" w:cs="Times New Roman"/>
          <w:b w:val="0"/>
          <w:sz w:val="21"/>
          <w:szCs w:val="21"/>
        </w:rPr>
      </w:pPr>
      <w:r>
        <w:rPr>
          <w:rFonts w:ascii="Times New Roman" w:hAnsi="Times New Roman" w:cs="Times New Roman"/>
          <w:b w:val="0"/>
          <w:kern w:val="0"/>
          <w:sz w:val="21"/>
          <w:szCs w:val="21"/>
        </w:rPr>
        <w:lastRenderedPageBreak/>
        <w:t>Table S</w:t>
      </w:r>
      <w:r w:rsidRPr="00EE6512">
        <w:rPr>
          <w:rFonts w:ascii="Times New Roman" w:hAnsi="Times New Roman" w:cs="Times New Roman"/>
          <w:b w:val="0"/>
          <w:sz w:val="21"/>
          <w:szCs w:val="21"/>
        </w:rPr>
        <w:t>2. Clinical c</w:t>
      </w:r>
      <w:r w:rsidRPr="00EE6512">
        <w:rPr>
          <w:rFonts w:ascii="Times New Roman" w:eastAsiaTheme="minorEastAsia" w:hAnsi="Times New Roman" w:cs="Times New Roman"/>
          <w:b w:val="0"/>
          <w:bCs w:val="0"/>
          <w:kern w:val="0"/>
          <w:sz w:val="21"/>
          <w:szCs w:val="21"/>
        </w:rPr>
        <w:t>haracteristics of OMDT cases.</w:t>
      </w:r>
    </w:p>
    <w:tbl>
      <w:tblPr>
        <w:tblStyle w:val="a"/>
        <w:tblW w:w="5000" w:type="pct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154"/>
        <w:gridCol w:w="1140"/>
        <w:gridCol w:w="1488"/>
        <w:gridCol w:w="1452"/>
        <w:gridCol w:w="1356"/>
        <w:gridCol w:w="1325"/>
      </w:tblGrid>
      <w:tr w:rsidR="00504EAB" w:rsidRPr="00EE6512" w:rsidTr="00504E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611" w:type="pct"/>
            <w:tcBorders>
              <w:bottom w:val="none" w:sz="0" w:space="0" w:color="auto"/>
            </w:tcBorders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szCs w:val="21"/>
              </w:rPr>
            </w:pPr>
          </w:p>
        </w:tc>
        <w:tc>
          <w:tcPr>
            <w:tcW w:w="640" w:type="pct"/>
            <w:tcBorders>
              <w:bottom w:val="none" w:sz="0" w:space="0" w:color="auto"/>
            </w:tcBorders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ALT(U/L)</w:t>
            </w:r>
          </w:p>
        </w:tc>
        <w:tc>
          <w:tcPr>
            <w:tcW w:w="632" w:type="pct"/>
            <w:tcBorders>
              <w:bottom w:val="none" w:sz="0" w:space="0" w:color="auto"/>
            </w:tcBorders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AST(U/L)</w:t>
            </w:r>
          </w:p>
        </w:tc>
        <w:tc>
          <w:tcPr>
            <w:tcW w:w="825" w:type="pct"/>
            <w:tcBorders>
              <w:bottom w:val="none" w:sz="0" w:space="0" w:color="auto"/>
            </w:tcBorders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szCs w:val="21"/>
              </w:rPr>
              <w:t>TBIL</w:t>
            </w: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(µ</w:t>
            </w:r>
            <w:proofErr w:type="spellStart"/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mol</w:t>
            </w:r>
            <w:proofErr w:type="spellEnd"/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/l)</w:t>
            </w:r>
          </w:p>
        </w:tc>
        <w:tc>
          <w:tcPr>
            <w:tcW w:w="805" w:type="pct"/>
            <w:tcBorders>
              <w:bottom w:val="none" w:sz="0" w:space="0" w:color="auto"/>
            </w:tcBorders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r-GT</w:t>
            </w: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（</w:t>
            </w: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U/L</w:t>
            </w: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）</w:t>
            </w:r>
          </w:p>
        </w:tc>
        <w:tc>
          <w:tcPr>
            <w:tcW w:w="752" w:type="pct"/>
            <w:tcBorders>
              <w:bottom w:val="none" w:sz="0" w:space="0" w:color="auto"/>
            </w:tcBorders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WBC</w:t>
            </w: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（</w:t>
            </w: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/L</w:t>
            </w: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）</w:t>
            </w:r>
          </w:p>
        </w:tc>
        <w:tc>
          <w:tcPr>
            <w:tcW w:w="736" w:type="pct"/>
            <w:tcBorders>
              <w:bottom w:val="none" w:sz="0" w:space="0" w:color="auto"/>
            </w:tcBorders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RBC (/L)</w:t>
            </w:r>
          </w:p>
        </w:tc>
      </w:tr>
      <w:tr w:rsidR="00504EAB" w:rsidRPr="00EE6512" w:rsidTr="00504EAB">
        <w:trPr>
          <w:trHeight w:val="315"/>
        </w:trPr>
        <w:tc>
          <w:tcPr>
            <w:tcW w:w="611" w:type="pct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szCs w:val="21"/>
              </w:rPr>
              <w:t>Case</w:t>
            </w: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 xml:space="preserve"> 1</w:t>
            </w:r>
          </w:p>
        </w:tc>
        <w:tc>
          <w:tcPr>
            <w:tcW w:w="640" w:type="pct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349</w:t>
            </w:r>
          </w:p>
        </w:tc>
        <w:tc>
          <w:tcPr>
            <w:tcW w:w="632" w:type="pct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570</w:t>
            </w:r>
          </w:p>
        </w:tc>
        <w:tc>
          <w:tcPr>
            <w:tcW w:w="825" w:type="pct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12.7</w:t>
            </w:r>
          </w:p>
        </w:tc>
        <w:tc>
          <w:tcPr>
            <w:tcW w:w="805" w:type="pct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187</w:t>
            </w:r>
          </w:p>
        </w:tc>
        <w:tc>
          <w:tcPr>
            <w:tcW w:w="752" w:type="pct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21.9x10</w:t>
            </w:r>
            <w:r w:rsidRPr="00EE6512">
              <w:rPr>
                <w:rFonts w:ascii="Times New Roman" w:eastAsia="SimSun" w:hAnsi="Times New Roman" w:cs="Times New Roman"/>
                <w:kern w:val="0"/>
                <w:szCs w:val="21"/>
                <w:vertAlign w:val="superscript"/>
              </w:rPr>
              <w:t>9</w:t>
            </w:r>
          </w:p>
        </w:tc>
        <w:tc>
          <w:tcPr>
            <w:tcW w:w="736" w:type="pct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4.18 x10</w:t>
            </w:r>
            <w:r w:rsidRPr="00EE6512">
              <w:rPr>
                <w:rFonts w:ascii="Times New Roman" w:eastAsia="SimSun" w:hAnsi="Times New Roman" w:cs="Times New Roman"/>
                <w:kern w:val="0"/>
                <w:szCs w:val="21"/>
                <w:vertAlign w:val="superscript"/>
              </w:rPr>
              <w:t>9</w:t>
            </w:r>
          </w:p>
        </w:tc>
      </w:tr>
      <w:tr w:rsidR="00504EAB" w:rsidRPr="00EE6512" w:rsidTr="00504EAB">
        <w:trPr>
          <w:trHeight w:val="315"/>
        </w:trPr>
        <w:tc>
          <w:tcPr>
            <w:tcW w:w="611" w:type="pct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Case 2</w:t>
            </w:r>
          </w:p>
        </w:tc>
        <w:tc>
          <w:tcPr>
            <w:tcW w:w="640" w:type="pct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305</w:t>
            </w:r>
          </w:p>
        </w:tc>
        <w:tc>
          <w:tcPr>
            <w:tcW w:w="632" w:type="pct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66</w:t>
            </w:r>
          </w:p>
        </w:tc>
        <w:tc>
          <w:tcPr>
            <w:tcW w:w="825" w:type="pct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14.4</w:t>
            </w:r>
          </w:p>
        </w:tc>
        <w:tc>
          <w:tcPr>
            <w:tcW w:w="805" w:type="pct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196</w:t>
            </w:r>
          </w:p>
        </w:tc>
        <w:tc>
          <w:tcPr>
            <w:tcW w:w="752" w:type="pct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13.4 x10</w:t>
            </w:r>
            <w:r w:rsidRPr="00EE6512">
              <w:rPr>
                <w:rFonts w:ascii="Times New Roman" w:eastAsia="SimSun" w:hAnsi="Times New Roman" w:cs="Times New Roman"/>
                <w:kern w:val="0"/>
                <w:szCs w:val="21"/>
                <w:vertAlign w:val="superscript"/>
              </w:rPr>
              <w:t>9</w:t>
            </w:r>
          </w:p>
        </w:tc>
        <w:tc>
          <w:tcPr>
            <w:tcW w:w="736" w:type="pct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3.96 x10</w:t>
            </w:r>
            <w:r w:rsidRPr="00EE6512">
              <w:rPr>
                <w:rFonts w:ascii="Times New Roman" w:eastAsia="SimSun" w:hAnsi="Times New Roman" w:cs="Times New Roman"/>
                <w:kern w:val="0"/>
                <w:szCs w:val="21"/>
                <w:vertAlign w:val="superscript"/>
              </w:rPr>
              <w:t>9</w:t>
            </w:r>
          </w:p>
        </w:tc>
      </w:tr>
      <w:tr w:rsidR="00504EAB" w:rsidRPr="00EE6512" w:rsidTr="00504EAB">
        <w:trPr>
          <w:trHeight w:val="300"/>
        </w:trPr>
        <w:tc>
          <w:tcPr>
            <w:tcW w:w="611" w:type="pct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Normal</w:t>
            </w:r>
          </w:p>
        </w:tc>
        <w:tc>
          <w:tcPr>
            <w:tcW w:w="640" w:type="pct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0~40</w:t>
            </w:r>
          </w:p>
        </w:tc>
        <w:tc>
          <w:tcPr>
            <w:tcW w:w="632" w:type="pct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0~45</w:t>
            </w:r>
          </w:p>
        </w:tc>
        <w:tc>
          <w:tcPr>
            <w:tcW w:w="825" w:type="pct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1~26</w:t>
            </w:r>
          </w:p>
        </w:tc>
        <w:tc>
          <w:tcPr>
            <w:tcW w:w="805" w:type="pct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7~50</w:t>
            </w:r>
          </w:p>
        </w:tc>
        <w:tc>
          <w:tcPr>
            <w:tcW w:w="752" w:type="pct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(4~10) x10</w:t>
            </w:r>
            <w:r w:rsidRPr="00EE6512">
              <w:rPr>
                <w:rFonts w:ascii="Times New Roman" w:eastAsia="SimSun" w:hAnsi="Times New Roman" w:cs="Times New Roman"/>
                <w:kern w:val="0"/>
                <w:szCs w:val="21"/>
                <w:vertAlign w:val="superscript"/>
              </w:rPr>
              <w:t>9</w:t>
            </w:r>
          </w:p>
        </w:tc>
        <w:tc>
          <w:tcPr>
            <w:tcW w:w="736" w:type="pct"/>
            <w:noWrap/>
            <w:hideMark/>
          </w:tcPr>
          <w:p w:rsidR="00504EAB" w:rsidRPr="00EE6512" w:rsidRDefault="00504EAB" w:rsidP="00C45B3E">
            <w:pPr>
              <w:widowControl/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Cs w:val="21"/>
              </w:rPr>
            </w:pPr>
            <w:r w:rsidRPr="00EE6512">
              <w:rPr>
                <w:rFonts w:ascii="Times New Roman" w:eastAsia="SimSun" w:hAnsi="Times New Roman" w:cs="Times New Roman"/>
                <w:kern w:val="0"/>
                <w:szCs w:val="21"/>
              </w:rPr>
              <w:t>(4~5.5) x10</w:t>
            </w:r>
            <w:r w:rsidRPr="00EE6512">
              <w:rPr>
                <w:rFonts w:ascii="Times New Roman" w:eastAsia="SimSun" w:hAnsi="Times New Roman" w:cs="Times New Roman"/>
                <w:kern w:val="0"/>
                <w:szCs w:val="21"/>
                <w:vertAlign w:val="superscript"/>
              </w:rPr>
              <w:t>9</w:t>
            </w:r>
          </w:p>
        </w:tc>
      </w:tr>
    </w:tbl>
    <w:p w:rsidR="00504EAB" w:rsidRPr="00EE6512" w:rsidRDefault="00504EAB" w:rsidP="00504EAB">
      <w:pPr>
        <w:spacing w:line="360" w:lineRule="auto"/>
        <w:rPr>
          <w:rFonts w:ascii="Times New Roman" w:hAnsi="Times New Roman" w:cs="Times New Roman"/>
          <w:szCs w:val="21"/>
        </w:rPr>
      </w:pPr>
      <w:r w:rsidRPr="00EE6512">
        <w:rPr>
          <w:rFonts w:ascii="Times New Roman" w:hAnsi="Times New Roman" w:cs="Times New Roman"/>
          <w:bCs/>
          <w:kern w:val="0"/>
          <w:szCs w:val="21"/>
        </w:rPr>
        <w:t xml:space="preserve">Liver function biochemical indicators included alanine aminotransferase (ALT), aspartate aminotransferase (AST), total bilirubin (TBIL), gamma-glutamyl </w:t>
      </w:r>
      <w:proofErr w:type="spellStart"/>
      <w:r w:rsidRPr="00EE6512">
        <w:rPr>
          <w:rFonts w:ascii="Times New Roman" w:hAnsi="Times New Roman" w:cs="Times New Roman"/>
          <w:bCs/>
          <w:kern w:val="0"/>
          <w:szCs w:val="21"/>
        </w:rPr>
        <w:t>transpeptidase</w:t>
      </w:r>
      <w:proofErr w:type="spellEnd"/>
      <w:r w:rsidRPr="00EE6512">
        <w:rPr>
          <w:rFonts w:ascii="Times New Roman" w:hAnsi="Times New Roman" w:cs="Times New Roman"/>
          <w:bCs/>
          <w:kern w:val="0"/>
          <w:szCs w:val="21"/>
        </w:rPr>
        <w:t xml:space="preserve"> (r-GT), white blood cells (WBC) and red blood cells (RBC) counts in peripheral blood.</w:t>
      </w:r>
    </w:p>
    <w:p w:rsidR="00FB7B47" w:rsidRDefault="00FB7B47">
      <w:bookmarkStart w:id="1" w:name="_GoBack"/>
      <w:bookmarkEnd w:id="1"/>
    </w:p>
    <w:sectPr w:rsidR="00FB7B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EAB"/>
    <w:rsid w:val="00504EAB"/>
    <w:rsid w:val="00FB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D8DCDB-0FAA-46DE-AEE9-91A0FC449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04EAB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val="en-US" w:eastAsia="zh-CN"/>
    </w:rPr>
  </w:style>
  <w:style w:type="paragraph" w:styleId="Heading1">
    <w:name w:val="heading 1"/>
    <w:basedOn w:val="Normal"/>
    <w:link w:val="Heading1Char"/>
    <w:uiPriority w:val="9"/>
    <w:qFormat/>
    <w:rsid w:val="00504EAB"/>
    <w:pPr>
      <w:widowControl/>
      <w:spacing w:before="100" w:beforeAutospacing="1" w:after="100" w:afterAutospacing="1"/>
      <w:jc w:val="left"/>
      <w:outlineLvl w:val="0"/>
    </w:pPr>
    <w:rPr>
      <w:rFonts w:ascii="SimSun" w:eastAsia="SimSun" w:hAnsi="SimSun" w:cs="SimSu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4EAB"/>
    <w:rPr>
      <w:rFonts w:ascii="SimSun" w:eastAsia="SimSun" w:hAnsi="SimSun" w:cs="SimSun"/>
      <w:b/>
      <w:bCs/>
      <w:kern w:val="36"/>
      <w:sz w:val="48"/>
      <w:szCs w:val="48"/>
      <w:lang w:val="en-US" w:eastAsia="zh-CN"/>
    </w:rPr>
  </w:style>
  <w:style w:type="table" w:customStyle="1" w:styleId="a">
    <w:name w:val="三线表"/>
    <w:basedOn w:val="TableNormal"/>
    <w:uiPriority w:val="99"/>
    <w:rsid w:val="00504EAB"/>
    <w:pPr>
      <w:spacing w:after="0" w:line="240" w:lineRule="auto"/>
    </w:pPr>
    <w:rPr>
      <w:rFonts w:eastAsiaTheme="minorEastAsia"/>
      <w:kern w:val="2"/>
      <w:sz w:val="21"/>
      <w:lang w:val="en-US" w:eastAsia="zh-CN"/>
    </w:rPr>
    <w:tblPr>
      <w:tblBorders>
        <w:top w:val="single" w:sz="4" w:space="0" w:color="auto"/>
        <w:bottom w:val="single" w:sz="4" w:space="0" w:color="auto"/>
      </w:tblBorders>
    </w:tblPr>
    <w:tblStylePr w:type="firstRow">
      <w:tblPr/>
      <w:tcPr>
        <w:tcBorders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 text</dc:creator>
  <cp:keywords/>
  <dc:description/>
  <cp:lastModifiedBy>oa text</cp:lastModifiedBy>
  <cp:revision>1</cp:revision>
  <dcterms:created xsi:type="dcterms:W3CDTF">2017-04-13T05:06:00Z</dcterms:created>
  <dcterms:modified xsi:type="dcterms:W3CDTF">2017-04-13T05:06:00Z</dcterms:modified>
</cp:coreProperties>
</file>